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68" w:rsidRDefault="000A7068" w:rsidP="000A7068">
      <w:pPr>
        <w:spacing w:after="0" w:line="235" w:lineRule="auto"/>
        <w:ind w:firstLine="5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Условия прохождения муниципальной службы Главой администрации города Керчи.</w:t>
      </w:r>
    </w:p>
    <w:p w:rsidR="000A7068" w:rsidRDefault="000A7068" w:rsidP="000A7068">
      <w:pPr>
        <w:spacing w:after="0" w:line="235" w:lineRule="auto"/>
        <w:ind w:firstLine="540"/>
        <w:jc w:val="both"/>
        <w:rPr>
          <w:rFonts w:ascii="Times New Roman" w:eastAsia="Times New Roman" w:hAnsi="Times New Roman"/>
          <w:b/>
          <w:sz w:val="24"/>
        </w:rPr>
      </w:pP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BC2158" w:rsidP="00BC2158">
      <w:pPr>
        <w:tabs>
          <w:tab w:val="left" w:pos="830"/>
        </w:tabs>
        <w:spacing w:after="0"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0A7068">
        <w:rPr>
          <w:rFonts w:ascii="Times New Roman" w:eastAsia="Times New Roman" w:hAnsi="Times New Roman"/>
          <w:sz w:val="24"/>
        </w:rPr>
        <w:t>Компетенция главы администрации города Керчи в сфере осуществления исполнительно-распорядительной деятельности администрации города Керчи: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6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осуществляет руководство деятельностью администрации города Керчи, ее отраслевыми органами по решению всех вопросов, отнесенных к компетенции администрации города Керчи;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7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представляет администрацию города в отношениях с Керченским городским советом, иными органами и должностными лицами местного самоуправления города Керчь и другими муниципальными образованиями, органами государственной власти, жителями и организациями;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7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вносит на рассмотрение Керченского городского совета для утверждения положения об отраслевых органах администрации города Керчи; вносит на рассмотрение Керченского городского совета проекты решений о создании соответствующих органов администрации города Керчи с правами юридического лица;</w:t>
      </w:r>
    </w:p>
    <w:p w:rsidR="000A7068" w:rsidRDefault="000A7068" w:rsidP="000A7068">
      <w:pPr>
        <w:spacing w:after="0" w:line="17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4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 заключает от имени администрации города Керчи договоры и соглашения в пределах своей компетенции;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numPr>
          <w:ilvl w:val="0"/>
          <w:numId w:val="2"/>
        </w:numPr>
        <w:tabs>
          <w:tab w:val="left" w:pos="890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разрабатывает и представляет на утверждение Керченского городского совета структуру администрации города Керчи, формирует штат администрации города Керчи в пределах средств, утвержденных в бюджете муниципального образования на содержание администрации города Керчи;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осуществляет функции главного распорядителя бюджетных сре</w:t>
      </w:r>
      <w:proofErr w:type="gramStart"/>
      <w:r>
        <w:rPr>
          <w:rFonts w:ascii="Times New Roman" w:eastAsia="Times New Roman" w:hAnsi="Times New Roman"/>
          <w:sz w:val="24"/>
        </w:rPr>
        <w:t>дств пр</w:t>
      </w:r>
      <w:proofErr w:type="gramEnd"/>
      <w:r>
        <w:rPr>
          <w:rFonts w:ascii="Times New Roman" w:eastAsia="Times New Roman" w:hAnsi="Times New Roman"/>
          <w:sz w:val="24"/>
        </w:rPr>
        <w:t>и исполнении бюджета (за исключением средств по расходам, связанным с деятельностью Керченского городского совета и депутатов, контрольно-счетного</w:t>
      </w:r>
      <w:r w:rsidRPr="00E16E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органа городского округа, а также избирательной комиссии городского округа);</w:t>
      </w:r>
    </w:p>
    <w:p w:rsidR="000A7068" w:rsidRDefault="000A7068" w:rsidP="000A7068">
      <w:pPr>
        <w:spacing w:after="0" w:line="12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numPr>
          <w:ilvl w:val="1"/>
          <w:numId w:val="3"/>
        </w:numPr>
        <w:tabs>
          <w:tab w:val="left" w:pos="852"/>
        </w:tabs>
        <w:spacing w:after="0" w:line="236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организует разработку проекта бюджета городского округа, вносит его в Керченский городской совет на утверждение, представляет информацию о его ежеквартальном исполнении и отчет за год;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1"/>
          <w:numId w:val="3"/>
        </w:numPr>
        <w:tabs>
          <w:tab w:val="left" w:pos="919"/>
        </w:tabs>
        <w:spacing w:after="0" w:line="236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организует подготовку планов и программ социально-экономического развития городского округа, вносит их в Керченский городской совет для утверждения, представляет отчеты об их исполнении;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1"/>
          <w:numId w:val="3"/>
        </w:numPr>
        <w:tabs>
          <w:tab w:val="left" w:pos="984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вносит на рассмотрение Керченского городского совета проекты нормативных правовых актов Керченского городского совета, предусматривающие установление, изменение и отмену налогов и сборов, осуществление расходов из средств местного бюджета;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1"/>
          <w:numId w:val="3"/>
        </w:numPr>
        <w:tabs>
          <w:tab w:val="left" w:pos="960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дает заключение по проектам нормативных правовых актов Керченского городского совета, предусматривающим установление, изменение и отмену налогов</w:t>
      </w:r>
    </w:p>
    <w:p w:rsidR="000A7068" w:rsidRDefault="000A7068" w:rsidP="000A7068">
      <w:pPr>
        <w:spacing w:after="0" w:line="2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3"/>
        </w:numPr>
        <w:tabs>
          <w:tab w:val="left" w:pos="200"/>
        </w:tabs>
        <w:spacing w:after="0" w:line="0" w:lineRule="atLeast"/>
        <w:ind w:left="200" w:hanging="1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сборов, осуществление расходов из средств местного бюджета;</w:t>
      </w:r>
    </w:p>
    <w:p w:rsidR="000A7068" w:rsidRDefault="000A7068" w:rsidP="000A7068">
      <w:pPr>
        <w:spacing w:after="0" w:line="12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1"/>
          <w:numId w:val="4"/>
        </w:numPr>
        <w:tabs>
          <w:tab w:val="left" w:pos="1063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принимает решение о подготовке генерального плана, решение о подготовке предложений о внесении изменений и дополнений в генеральный план;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1"/>
          <w:numId w:val="4"/>
        </w:numPr>
        <w:tabs>
          <w:tab w:val="left" w:pos="1001"/>
        </w:tabs>
        <w:spacing w:after="0" w:line="238" w:lineRule="auto"/>
        <w:ind w:firstLine="54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городского округа, о порядке и сроках проведения работ по подготовке правил землепользования и застройки, иных положений, касающихся организации указанных работ, о составе и порядке деятельности комиссии по подготовке проекта правил землепользования и застройки;</w:t>
      </w:r>
      <w:proofErr w:type="gramEnd"/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1"/>
          <w:numId w:val="4"/>
        </w:numPr>
        <w:tabs>
          <w:tab w:val="left" w:pos="1058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назначает на должность и освобождает от должности в порядке, установленном настоящим Уставом, заместителей главы администрации города Керчи, руководителей структурных подразделений администрации города Керчи, муниципальных служащих администрации города Керчи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также решает вопросы применения к ним мер поощрения и дисциплинарной ответственности;</w:t>
      </w:r>
    </w:p>
    <w:p w:rsidR="000A7068" w:rsidRPr="00E16E39" w:rsidRDefault="000A7068" w:rsidP="000A7068">
      <w:pPr>
        <w:numPr>
          <w:ilvl w:val="0"/>
          <w:numId w:val="2"/>
        </w:numPr>
        <w:tabs>
          <w:tab w:val="left" w:pos="871"/>
        </w:tabs>
        <w:spacing w:after="0" w:line="236" w:lineRule="auto"/>
        <w:ind w:firstLine="542"/>
        <w:jc w:val="both"/>
        <w:rPr>
          <w:rFonts w:ascii="Times New Roman" w:eastAsia="Times New Roman" w:hAnsi="Times New Roman"/>
          <w:sz w:val="24"/>
        </w:rPr>
        <w:sectPr w:rsidR="000A7068" w:rsidRPr="00E16E39">
          <w:pgSz w:w="11900" w:h="16838"/>
          <w:pgMar w:top="1122" w:right="840" w:bottom="1070" w:left="2300" w:header="0" w:footer="0" w:gutter="0"/>
          <w:cols w:space="0" w:equalWidth="0">
            <w:col w:w="8760"/>
          </w:cols>
          <w:docGrid w:linePitch="360"/>
        </w:sectPr>
      </w:pPr>
    </w:p>
    <w:p w:rsidR="000A7068" w:rsidRDefault="000A7068" w:rsidP="000A7068">
      <w:pPr>
        <w:spacing w:after="0" w:line="17" w:lineRule="exact"/>
        <w:rPr>
          <w:rFonts w:ascii="Times New Roman" w:eastAsia="Times New Roman" w:hAnsi="Times New Roman"/>
          <w:sz w:val="24"/>
        </w:rPr>
      </w:pPr>
      <w:bookmarkStart w:id="0" w:name="page56"/>
      <w:bookmarkEnd w:id="0"/>
    </w:p>
    <w:p w:rsidR="000A7068" w:rsidRDefault="000A7068" w:rsidP="000A7068">
      <w:pPr>
        <w:numPr>
          <w:ilvl w:val="1"/>
          <w:numId w:val="4"/>
        </w:numPr>
        <w:tabs>
          <w:tab w:val="left" w:pos="1058"/>
        </w:tabs>
        <w:spacing w:after="0" w:line="236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назначает на должность и освобождает от должности в порядке, определённом Керченским городским советом руководителей муниципальных предприятий, учреждений;</w:t>
      </w:r>
    </w:p>
    <w:p w:rsidR="000A7068" w:rsidRDefault="000A7068" w:rsidP="000A7068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1"/>
          <w:numId w:val="4"/>
        </w:numPr>
        <w:tabs>
          <w:tab w:val="left" w:pos="920"/>
        </w:tabs>
        <w:spacing w:after="0" w:line="0" w:lineRule="atLeast"/>
        <w:ind w:left="920" w:hanging="378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4"/>
        </w:rPr>
        <w:t>исключен</w:t>
      </w:r>
      <w:proofErr w:type="gramEnd"/>
      <w:r>
        <w:rPr>
          <w:rFonts w:ascii="Times New Roman" w:eastAsia="Times New Roman" w:hAnsi="Times New Roman"/>
          <w:sz w:val="24"/>
        </w:rPr>
        <w:t xml:space="preserve"> решением 26 сессии Керченского городского совета 1 созыва от</w:t>
      </w:r>
    </w:p>
    <w:p w:rsidR="000A7068" w:rsidRDefault="000A7068" w:rsidP="000A7068">
      <w:pPr>
        <w:spacing w:after="0" w:line="12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spacing w:after="0" w:line="234" w:lineRule="auto"/>
        <w:ind w:left="540" w:hanging="53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27.08.2015 № 518-1/15; </w:t>
      </w:r>
      <w:r>
        <w:rPr>
          <w:rFonts w:ascii="Times New Roman" w:eastAsia="Times New Roman" w:hAnsi="Times New Roman"/>
        </w:rPr>
        <w:t>16</w:t>
      </w:r>
      <w:r>
        <w:rPr>
          <w:rFonts w:ascii="Times New Roman" w:eastAsia="Times New Roman" w:hAnsi="Times New Roman"/>
          <w:sz w:val="24"/>
        </w:rPr>
        <w:t>) обеспечивает в пределах своей компетенции исполнение принятого на</w:t>
      </w:r>
      <w:proofErr w:type="gramEnd"/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spacing w:after="0" w:line="234" w:lineRule="auto"/>
        <w:ind w:left="540" w:hanging="53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местном</w:t>
      </w:r>
      <w:proofErr w:type="gramEnd"/>
      <w:r>
        <w:rPr>
          <w:rFonts w:ascii="Times New Roman" w:eastAsia="Times New Roman" w:hAnsi="Times New Roman"/>
          <w:sz w:val="24"/>
        </w:rPr>
        <w:t xml:space="preserve"> референдуме решения; 17) осуществляет руководство гражданской обороной на территории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spacing w:after="0" w:line="234" w:lineRule="auto"/>
        <w:ind w:left="540" w:hanging="5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городского округа; </w:t>
      </w:r>
      <w:r>
        <w:rPr>
          <w:rFonts w:ascii="Times New Roman" w:eastAsia="Times New Roman" w:hAnsi="Times New Roman"/>
        </w:rPr>
        <w:t>18</w:t>
      </w:r>
      <w:r>
        <w:rPr>
          <w:rFonts w:ascii="Times New Roman" w:eastAsia="Times New Roman" w:hAnsi="Times New Roman"/>
          <w:sz w:val="24"/>
        </w:rPr>
        <w:t>) оказывает содействие и поддержку развитию промышленности городского</w:t>
      </w:r>
    </w:p>
    <w:p w:rsidR="000A7068" w:rsidRDefault="000A7068" w:rsidP="000A7068">
      <w:pPr>
        <w:spacing w:after="0" w:line="2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округа, среднего и малого бизнеса;</w:t>
      </w:r>
    </w:p>
    <w:p w:rsidR="000A7068" w:rsidRDefault="000A7068" w:rsidP="000A7068">
      <w:pPr>
        <w:spacing w:after="0" w:line="12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numPr>
          <w:ilvl w:val="0"/>
          <w:numId w:val="5"/>
        </w:numPr>
        <w:tabs>
          <w:tab w:val="left" w:pos="938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исключен</w:t>
      </w:r>
      <w:proofErr w:type="gramEnd"/>
      <w:r>
        <w:rPr>
          <w:rFonts w:ascii="Times New Roman" w:eastAsia="Times New Roman" w:hAnsi="Times New Roman"/>
          <w:sz w:val="24"/>
        </w:rPr>
        <w:t xml:space="preserve"> решением 26 сессии Керченского городского совета 1 созыва от 27.08.2015 № 518-1/15;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5"/>
        </w:numPr>
        <w:tabs>
          <w:tab w:val="left" w:pos="933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обеспечивает предъявление в суд или арбитражный суд исков о признании </w:t>
      </w:r>
      <w:proofErr w:type="gramStart"/>
      <w:r>
        <w:rPr>
          <w:rFonts w:ascii="Times New Roman" w:eastAsia="Times New Roman" w:hAnsi="Times New Roman"/>
          <w:sz w:val="24"/>
        </w:rPr>
        <w:t>недействительными</w:t>
      </w:r>
      <w:proofErr w:type="gramEnd"/>
      <w:r>
        <w:rPr>
          <w:rFonts w:ascii="Times New Roman" w:eastAsia="Times New Roman" w:hAnsi="Times New Roman"/>
          <w:sz w:val="24"/>
        </w:rPr>
        <w:t>, нарушающими права местного самоуправления решений и действий (бездействия) органов государственной власти и их должностных лиц, предприятий, учреждений, организаций, общественных объединений;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5"/>
        </w:numPr>
        <w:tabs>
          <w:tab w:val="left" w:pos="989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обеспечивает предоставление информации для подготовки вопросов на заседания Керченского городского совета;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5"/>
        </w:numPr>
        <w:tabs>
          <w:tab w:val="left" w:pos="1029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обеспечивает подготовку необходимых материалов для рассмотрения вопросов, вносимых на заседания Керченского городского совета;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Pr="00E16E39" w:rsidRDefault="000A7068" w:rsidP="000A7068">
      <w:pPr>
        <w:numPr>
          <w:ilvl w:val="0"/>
          <w:numId w:val="5"/>
        </w:numPr>
        <w:tabs>
          <w:tab w:val="left" w:pos="914"/>
        </w:tabs>
        <w:spacing w:after="0" w:line="237" w:lineRule="auto"/>
        <w:ind w:firstLine="5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в соответствии с действующим законодательством вносит на рассмотрение Керченского городского совета предложения по определению порядка проведения аттестации, повышения квалификации муниципальных служащих администрации города Керчи, присвоения квалификационных разрядов, утверждает реестр</w:t>
      </w:r>
      <w:r>
        <w:rPr>
          <w:rFonts w:ascii="Times New Roman" w:eastAsia="Times New Roman" w:hAnsi="Times New Roman"/>
        </w:rPr>
        <w:t xml:space="preserve"> </w:t>
      </w:r>
      <w:r w:rsidRPr="00E16E39">
        <w:rPr>
          <w:rFonts w:ascii="Times New Roman" w:eastAsia="Times New Roman" w:hAnsi="Times New Roman"/>
          <w:sz w:val="24"/>
        </w:rPr>
        <w:t>муниципальных должностей в органах местного самоуправления городского округа, определяет порядок его ведения;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numPr>
          <w:ilvl w:val="0"/>
          <w:numId w:val="6"/>
        </w:numPr>
        <w:tabs>
          <w:tab w:val="left" w:pos="984"/>
        </w:tabs>
        <w:spacing w:after="0" w:line="237" w:lineRule="auto"/>
        <w:ind w:left="120" w:firstLine="4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утверждает схему, размеры и условия оплаты труда, порядок и условия применения стимулирующих и компенсирующих выплат работникам администрации города Керчи, ее отраслевых органов, не являющимся муниципальными служащими, а также работникам муниципальных предприятий и учреждений, расположенных на территории городского округа;</w:t>
      </w:r>
    </w:p>
    <w:p w:rsidR="000A7068" w:rsidRDefault="000A7068" w:rsidP="000A7068">
      <w:pPr>
        <w:spacing w:after="0" w:line="17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6"/>
        </w:numPr>
        <w:tabs>
          <w:tab w:val="left" w:pos="1226"/>
        </w:tabs>
        <w:spacing w:after="0" w:line="238" w:lineRule="auto"/>
        <w:ind w:left="120" w:firstLine="4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утверждает порядок и условия предоставления ежегодного дополнительного оплачиваемого отпуска муниципальным служащим и иным работникам администрации города Керчи, муниципальным служащим и иным работникам отраслевых органов администрации города Керчи, руководителям и работникам муниципальных предприятий и учреждений в порядке, установленном законодательством;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6"/>
        </w:numPr>
        <w:tabs>
          <w:tab w:val="left" w:pos="1017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утверждает учредительные документы муниципальных предприятий и учреждений, а также изменения и дополнения к ним;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6"/>
        </w:numPr>
        <w:tabs>
          <w:tab w:val="left" w:pos="943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организует и обеспечивает исполнение администрацией города отдельных государственных полномочий, переданных органам местного самоуправления городского округа федеральными законами и законами Республики Крым, несет персональную ответственность за их исполнение;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6"/>
        </w:numPr>
        <w:tabs>
          <w:tab w:val="left" w:pos="943"/>
        </w:tabs>
        <w:spacing w:after="0" w:line="236" w:lineRule="auto"/>
        <w:ind w:right="20"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и во исполнение соответствующих законов издает правовые акты по вопросам, связанным с осуществлением переданных государственных полномочий;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6"/>
        </w:numPr>
        <w:tabs>
          <w:tab w:val="left" w:pos="1003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исключен</w:t>
      </w:r>
      <w:proofErr w:type="gramEnd"/>
      <w:r>
        <w:rPr>
          <w:rFonts w:ascii="Times New Roman" w:eastAsia="Times New Roman" w:hAnsi="Times New Roman"/>
          <w:sz w:val="24"/>
        </w:rPr>
        <w:t xml:space="preserve"> решением 26 сессии Керченского городского совета 1 созыва от 27.08.2015 № 518-1/15;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6"/>
        </w:numPr>
        <w:tabs>
          <w:tab w:val="left" w:pos="972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регулярно информирует жителей о деятельности администрации города, организует прием граждан работниками администрации города, осуществляет личный прием граждан, рассматривает предложения, заявления и жалобы граждан, принимает по ним решения;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6"/>
        </w:numPr>
        <w:tabs>
          <w:tab w:val="left" w:pos="957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осуществляет иные полномочия, предусмотренные настоящим Уставом и условиями контракта.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4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В сфере взаимодействия с Керченским городским советом, Председателем Керченского городского совета, глава администрации города Керчи: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numPr>
          <w:ilvl w:val="0"/>
          <w:numId w:val="7"/>
        </w:numPr>
        <w:tabs>
          <w:tab w:val="left" w:pos="974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вносит на рассмотрение в Керченский городской совет проекты нормативных правовых актов;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7"/>
        </w:numPr>
        <w:tabs>
          <w:tab w:val="left" w:pos="849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вносит на утверждение Керченского городского совета проекты бюджета городского округа и отчеты о его исполнении;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7"/>
        </w:numPr>
        <w:tabs>
          <w:tab w:val="left" w:pos="931"/>
        </w:tabs>
        <w:spacing w:after="0"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вносит предложения о созыве внеочередных заседаний Керченского городского совета;</w:t>
      </w:r>
    </w:p>
    <w:p w:rsidR="000A7068" w:rsidRDefault="000A7068" w:rsidP="000A7068">
      <w:pPr>
        <w:spacing w:after="0" w:line="2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7"/>
        </w:numPr>
        <w:tabs>
          <w:tab w:val="left" w:pos="880"/>
        </w:tabs>
        <w:spacing w:after="0" w:line="239" w:lineRule="auto"/>
        <w:ind w:left="880" w:hanging="3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предлагает  вопросы  в  повестку  дня  заседаний  Керченского  городского</w:t>
      </w:r>
    </w:p>
    <w:p w:rsidR="000A7068" w:rsidRDefault="000A7068" w:rsidP="000A7068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совета;</w:t>
      </w:r>
    </w:p>
    <w:p w:rsidR="000A7068" w:rsidRDefault="000A7068" w:rsidP="000A7068">
      <w:pPr>
        <w:spacing w:after="0" w:line="12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7"/>
        </w:numPr>
        <w:tabs>
          <w:tab w:val="left" w:pos="893"/>
        </w:tabs>
        <w:spacing w:after="0" w:line="236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представляет на утверждение Керченского городского совета планы и программы социально-экономического развития муниципального образования, отчеты об их исполнении;</w:t>
      </w:r>
    </w:p>
    <w:p w:rsidR="000A7068" w:rsidRDefault="000A7068" w:rsidP="000A7068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7"/>
        </w:numPr>
        <w:tabs>
          <w:tab w:val="left" w:pos="800"/>
        </w:tabs>
        <w:spacing w:after="0" w:line="0" w:lineRule="atLeast"/>
        <w:ind w:left="800" w:hanging="2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присутствует на заседаниях Керченского городского совета.</w:t>
      </w:r>
    </w:p>
    <w:p w:rsidR="000A7068" w:rsidRDefault="000A7068" w:rsidP="000A7068">
      <w:pPr>
        <w:numPr>
          <w:ilvl w:val="0"/>
          <w:numId w:val="7"/>
        </w:numPr>
        <w:tabs>
          <w:tab w:val="left" w:pos="800"/>
        </w:tabs>
        <w:spacing w:after="0" w:line="0" w:lineRule="atLeast"/>
        <w:ind w:left="800" w:hanging="2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осуществляет иные полномочия в порядке, определённом Уставом</w:t>
      </w:r>
    </w:p>
    <w:p w:rsidR="000A7068" w:rsidRDefault="000A7068" w:rsidP="000A7068">
      <w:pPr>
        <w:spacing w:after="0" w:line="12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spacing w:after="0" w:line="238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Глава администрации города Керчи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администрации города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администрации города по вопросам организации</w:t>
      </w:r>
      <w:proofErr w:type="gramEnd"/>
      <w:r>
        <w:rPr>
          <w:rFonts w:ascii="Times New Roman" w:eastAsia="Times New Roman" w:hAnsi="Times New Roman"/>
          <w:sz w:val="24"/>
        </w:rPr>
        <w:t xml:space="preserve"> работы администрации города.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BC2158">
      <w:pPr>
        <w:tabs>
          <w:tab w:val="left" w:pos="813"/>
        </w:tabs>
        <w:spacing w:after="0"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Глава администрации города Керчи несет ответственность за деятельность структурных подразделений администрации города, отраслевых органов, должностных и иных лиц администрации города Керчи.</w:t>
      </w:r>
    </w:p>
    <w:p w:rsidR="000A7068" w:rsidRDefault="000A7068" w:rsidP="000A7068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8"/>
        </w:numPr>
        <w:tabs>
          <w:tab w:val="left" w:pos="780"/>
        </w:tabs>
        <w:spacing w:after="0" w:line="0" w:lineRule="atLeast"/>
        <w:ind w:left="78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Глава администрации города Керчи:</w:t>
      </w:r>
    </w:p>
    <w:p w:rsidR="000A7068" w:rsidRDefault="000A7068" w:rsidP="000A7068">
      <w:pPr>
        <w:numPr>
          <w:ilvl w:val="0"/>
          <w:numId w:val="9"/>
        </w:numPr>
        <w:tabs>
          <w:tab w:val="left" w:pos="800"/>
        </w:tabs>
        <w:spacing w:after="0" w:line="0" w:lineRule="atLeast"/>
        <w:ind w:left="800" w:hanging="25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подконтролен</w:t>
      </w:r>
      <w:proofErr w:type="gramEnd"/>
      <w:r>
        <w:rPr>
          <w:rFonts w:ascii="Times New Roman" w:eastAsia="Times New Roman" w:hAnsi="Times New Roman"/>
          <w:sz w:val="24"/>
        </w:rPr>
        <w:t xml:space="preserve"> и подотчетен Керченскому городскому совету;</w:t>
      </w:r>
    </w:p>
    <w:p w:rsidR="000A7068" w:rsidRDefault="000A7068" w:rsidP="000A7068">
      <w:pPr>
        <w:spacing w:after="0" w:line="12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9"/>
        </w:numPr>
        <w:tabs>
          <w:tab w:val="left" w:pos="953"/>
        </w:tabs>
        <w:spacing w:after="0" w:line="236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представляет Керченскому городскому совету ежегодные отчеты о результатах своей деятельности и деятельности администрации города Керчи, в том числе о решении вопросов, поставленных Керченским городским советом;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9"/>
        </w:numPr>
        <w:tabs>
          <w:tab w:val="left" w:pos="818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обеспечивает осуществление администрацией города Керчи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Крым.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BC2158">
      <w:pPr>
        <w:tabs>
          <w:tab w:val="left" w:pos="1073"/>
        </w:tabs>
        <w:spacing w:after="0" w:line="239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Глава администрации города Керчи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города Керчи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A7068" w:rsidRDefault="000A7068" w:rsidP="00BC2158">
      <w:pPr>
        <w:spacing w:after="0" w:line="16" w:lineRule="exact"/>
        <w:ind w:firstLine="542"/>
        <w:rPr>
          <w:rFonts w:ascii="Times New Roman" w:eastAsia="Times New Roman" w:hAnsi="Times New Roman"/>
          <w:sz w:val="24"/>
        </w:rPr>
      </w:pPr>
    </w:p>
    <w:p w:rsidR="000A7068" w:rsidRDefault="000A7068" w:rsidP="00BC2158">
      <w:pPr>
        <w:tabs>
          <w:tab w:val="left" w:pos="981"/>
        </w:tabs>
        <w:spacing w:after="0" w:line="236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Глава администрации города Керчи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BC2158" w:rsidP="00BC2158">
      <w:pPr>
        <w:tabs>
          <w:tab w:val="left" w:pos="931"/>
        </w:tabs>
        <w:spacing w:after="0"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0A7068">
        <w:rPr>
          <w:rFonts w:ascii="Times New Roman" w:eastAsia="Times New Roman" w:hAnsi="Times New Roman"/>
          <w:sz w:val="24"/>
        </w:rPr>
        <w:t>Полномочия главы администрации города Керчи могут быть прекращены досрочно в случаях, предусмотренных федеральным законодательством.</w:t>
      </w:r>
    </w:p>
    <w:p w:rsidR="000A7068" w:rsidRDefault="000A7068" w:rsidP="000A7068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Полномочия главы администрации города Керчи прекращаются в случае:</w:t>
      </w:r>
    </w:p>
    <w:p w:rsidR="000A7068" w:rsidRDefault="000A7068" w:rsidP="000A7068">
      <w:pPr>
        <w:spacing w:after="0" w:line="12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7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отставки - по решению Керченского городского совета, принятому большинством голосов от установленного числа депутатов Керченского городского совета на основании соответствующего </w:t>
      </w:r>
      <w:proofErr w:type="gramStart"/>
      <w:r>
        <w:rPr>
          <w:rFonts w:ascii="Times New Roman" w:eastAsia="Times New Roman" w:hAnsi="Times New Roman"/>
          <w:sz w:val="24"/>
        </w:rPr>
        <w:t>заявления главы администрации города Керчи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6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отрешения от должности в соответствии со статьей 74 Федерального закона «Об общих принципах организации местного самоуправления в Российской Федерации» - со дня вступления в силу соответствующего решения;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6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признания судом недееспособным или ограниченно дееспособным, безвестно отсутствующим или объявления умершим, вступления в отношении его в законную силу обвинительного приговора суда;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4" w:lineRule="auto"/>
        <w:ind w:right="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выезда за пределы Российской Федерации на постоянное место жительства, смерти - со дня свершения факта;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7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</w:t>
      </w:r>
      <w:r w:rsidRPr="00566AA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>
        <w:rPr>
          <w:rFonts w:ascii="Times New Roman" w:eastAsia="Times New Roman" w:hAnsi="Times New Roman"/>
          <w:sz w:val="24"/>
        </w:rPr>
        <w:t xml:space="preserve">, в </w:t>
      </w:r>
      <w:proofErr w:type="gramStart"/>
      <w:r>
        <w:rPr>
          <w:rFonts w:ascii="Times New Roman" w:eastAsia="Times New Roman" w:hAnsi="Times New Roman"/>
          <w:sz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</w:rPr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spacing w:after="0" w:line="234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призыва на военную службу или направления на заменяющую ее альтернативную гражданскую службу - со дня призыва.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</w:rPr>
      </w:pPr>
    </w:p>
    <w:p w:rsidR="000A7068" w:rsidRDefault="000A7068" w:rsidP="000A7068">
      <w:pPr>
        <w:numPr>
          <w:ilvl w:val="0"/>
          <w:numId w:val="11"/>
        </w:numPr>
        <w:tabs>
          <w:tab w:val="left" w:pos="825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</w:rPr>
        <w:t xml:space="preserve"> непринятия Керченским городским советом решения об отставке главы администрации города Керчи глава администрации города Керчи вправе сложить свои полномочия по истечении двух недель со дня подачи заявления об отставке в Керченский городской совет.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6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Информация о досрочном прекращении </w:t>
      </w:r>
      <w:proofErr w:type="gramStart"/>
      <w:r>
        <w:rPr>
          <w:rFonts w:ascii="Times New Roman" w:eastAsia="Times New Roman" w:hAnsi="Times New Roman"/>
          <w:sz w:val="24"/>
        </w:rPr>
        <w:t>полномочий главы администрации города Керчи</w:t>
      </w:r>
      <w:proofErr w:type="gramEnd"/>
      <w:r>
        <w:rPr>
          <w:rFonts w:ascii="Times New Roman" w:eastAsia="Times New Roman" w:hAnsi="Times New Roman"/>
          <w:sz w:val="24"/>
        </w:rPr>
        <w:t xml:space="preserve"> подлежит официальному опубликованию не позднее 14 дней со дня принятия соответствующего решения.</w:t>
      </w:r>
    </w:p>
    <w:p w:rsidR="000A7068" w:rsidRDefault="000A7068" w:rsidP="000A7068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numPr>
          <w:ilvl w:val="0"/>
          <w:numId w:val="11"/>
        </w:numPr>
        <w:tabs>
          <w:tab w:val="left" w:pos="816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течение четырнадцати дней со дня досрочного </w:t>
      </w:r>
      <w:proofErr w:type="gramStart"/>
      <w:r>
        <w:rPr>
          <w:rFonts w:ascii="Times New Roman" w:eastAsia="Times New Roman" w:hAnsi="Times New Roman"/>
          <w:sz w:val="24"/>
        </w:rPr>
        <w:t>прекращения полномочий главы администрации города Керчи</w:t>
      </w:r>
      <w:proofErr w:type="gramEnd"/>
      <w:r>
        <w:rPr>
          <w:rFonts w:ascii="Times New Roman" w:eastAsia="Times New Roman" w:hAnsi="Times New Roman"/>
          <w:sz w:val="24"/>
        </w:rPr>
        <w:t xml:space="preserve"> Керченский городской совет принимает решение о проведении конкурса на замещение должности главы администрации города Керчи.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4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Контракт с главой администрации города </w:t>
      </w:r>
      <w:proofErr w:type="gramStart"/>
      <w:r>
        <w:rPr>
          <w:rFonts w:ascii="Times New Roman" w:eastAsia="Times New Roman" w:hAnsi="Times New Roman"/>
          <w:sz w:val="24"/>
        </w:rPr>
        <w:t>Керчи</w:t>
      </w:r>
      <w:proofErr w:type="gramEnd"/>
      <w:r>
        <w:rPr>
          <w:rFonts w:ascii="Times New Roman" w:eastAsia="Times New Roman" w:hAnsi="Times New Roman"/>
          <w:sz w:val="24"/>
        </w:rPr>
        <w:t xml:space="preserve"> может быть расторгнут по соглашению сторон или в судебном порядке на основании заявления: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7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Керченского городского совета или председателя Керченского городского совета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10 настоящей статьи;</w:t>
      </w:r>
    </w:p>
    <w:p w:rsidR="000A7068" w:rsidRDefault="000A7068" w:rsidP="000A7068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7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Главы Республики Крым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Крым, а также в связи с несоблюдением ограничений, установленных частью 10 настоящей статьи;</w:t>
      </w:r>
    </w:p>
    <w:p w:rsidR="000A7068" w:rsidRDefault="000A7068" w:rsidP="000A7068">
      <w:pPr>
        <w:spacing w:after="0" w:line="17" w:lineRule="exact"/>
        <w:rPr>
          <w:rFonts w:ascii="Times New Roman" w:eastAsia="Times New Roman" w:hAnsi="Times New Roman"/>
          <w:sz w:val="24"/>
        </w:rPr>
      </w:pPr>
    </w:p>
    <w:p w:rsidR="000A7068" w:rsidRDefault="000A7068" w:rsidP="000A7068">
      <w:pPr>
        <w:spacing w:after="0" w:line="236" w:lineRule="auto"/>
        <w:ind w:right="40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3) главы администрации города Керчи - в связи с нарушением условий контракта органами местного самоуправления и (или) органами государственной власти Республики Кры</w:t>
      </w:r>
      <w:bookmarkStart w:id="1" w:name="page57"/>
      <w:bookmarkStart w:id="2" w:name="page58"/>
      <w:bookmarkEnd w:id="1"/>
      <w:bookmarkEnd w:id="2"/>
      <w:r>
        <w:rPr>
          <w:rFonts w:ascii="Times New Roman" w:eastAsia="Times New Roman" w:hAnsi="Times New Roman"/>
          <w:sz w:val="24"/>
        </w:rPr>
        <w:t>м.</w:t>
      </w:r>
    </w:p>
    <w:p w:rsidR="00000000" w:rsidRDefault="00BC2158"/>
    <w:p w:rsidR="000A7068" w:rsidRDefault="000A7068">
      <w:pPr>
        <w:rPr>
          <w:rFonts w:ascii="Times New Roman" w:hAnsi="Times New Roman" w:cs="Times New Roman"/>
          <w:b/>
        </w:rPr>
      </w:pPr>
      <w:r>
        <w:tab/>
      </w:r>
      <w:r w:rsidRPr="000A7068">
        <w:rPr>
          <w:rFonts w:ascii="Times New Roman" w:hAnsi="Times New Roman" w:cs="Times New Roman"/>
          <w:b/>
        </w:rPr>
        <w:t xml:space="preserve">Гарантии, предоставляемые Главе администрации, как муниципальному служащему 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Главе администрации выплачивается денежное содержание в соответствии с действующим законодательством и нормативными правовыми актами Керченского городского совета Республики Крым.</w:t>
      </w:r>
    </w:p>
    <w:p w:rsid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 xml:space="preserve"> Изменение (индексация) размера должностного оклада и дополнительных выплат осуществляется в соответствии с действующим законодательством.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 xml:space="preserve"> Глава администрации осуществляет свою деятельность на условиях ненормированного служебного дня.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4. Главе администрации предоставляются: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</w:t>
      </w:r>
      <w:r w:rsidR="00E91AAA">
        <w:rPr>
          <w:rFonts w:ascii="Times New Roman" w:hAnsi="Times New Roman" w:cs="Times New Roman"/>
          <w:sz w:val="24"/>
          <w:szCs w:val="24"/>
        </w:rPr>
        <w:t xml:space="preserve">к продолжительностью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0A7068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лет;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3) иные ежегодные дополнительные оплачиваемые отпуска в случаях, предусмотренных федеральными законами и законами Республики Крым;</w:t>
      </w:r>
    </w:p>
    <w:p w:rsidR="000A7068" w:rsidRPr="000A7068" w:rsidRDefault="000A7068" w:rsidP="000A7068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отпуск без сохранения денежного содержания в случаях, предусмотренных федеральными законами.</w:t>
      </w:r>
    </w:p>
    <w:p w:rsidR="000A7068" w:rsidRPr="000A7068" w:rsidRDefault="000A7068" w:rsidP="000A706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Главе администрации обеспечиваются надлежащие организационно-технические условия, необходимые для исполнения должностных обязанностей.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Для выполнения служебных обязанностей за счет средств местного бюджета главе администрации предоставляются служебная автомашина с водителем, средства мобильной связи.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3. Главе администрации возмещаются командировочные расходы.</w:t>
      </w:r>
    </w:p>
    <w:p w:rsidR="000A7068" w:rsidRPr="000A7068" w:rsidRDefault="000A7068" w:rsidP="000A70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4. Иные компенсации, льготы и дополнительные отпуска осуществляются в соответствии с действующим законодательством и муниципальными актами.</w:t>
      </w:r>
    </w:p>
    <w:p w:rsidR="000A7068" w:rsidRDefault="00E91AAA" w:rsidP="000A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E91AAA">
        <w:rPr>
          <w:rFonts w:ascii="Times New Roman" w:hAnsi="Times New Roman" w:cs="Times New Roman"/>
          <w:sz w:val="24"/>
          <w:szCs w:val="24"/>
        </w:rPr>
        <w:t>Глава администрации подлежит обязательному страхованию, предусмотренному законодательством Российской Федерации</w:t>
      </w:r>
    </w:p>
    <w:p w:rsidR="00E91AAA" w:rsidRDefault="00E91AAA" w:rsidP="000A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расторжении трудового договора  с Главой администрации в связи с ликвидацией органа местного самоуправления главе администрации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E91AAA" w:rsidRDefault="00E91AAA" w:rsidP="000A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1AAA" w:rsidRDefault="00E91AAA" w:rsidP="000A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Пенсионное обеспечение Главы администрации города Керчи и членов его семьи.</w:t>
      </w:r>
    </w:p>
    <w:p w:rsidR="00E91AAA" w:rsidRDefault="00E91AAA" w:rsidP="000A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1AAA" w:rsidRDefault="00E91AAA" w:rsidP="00BC2158">
      <w:pPr>
        <w:pStyle w:val="a3"/>
        <w:numPr>
          <w:ilvl w:val="0"/>
          <w:numId w:val="15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пенсионного обеспечения на Главу администрации в полном объёме распространяются права государственного гражданского служащего, установленные федеральными законами субъекта Российской Федерации.</w:t>
      </w:r>
    </w:p>
    <w:p w:rsidR="00BC2158" w:rsidRDefault="00E91AAA" w:rsidP="00BC2158">
      <w:pPr>
        <w:pStyle w:val="a3"/>
        <w:numPr>
          <w:ilvl w:val="0"/>
          <w:numId w:val="15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размера государственной пенсии главы администрации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Максимальный размер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пенсии </w:t>
      </w:r>
      <w:r w:rsidR="00BC2158">
        <w:rPr>
          <w:rFonts w:ascii="Times New Roman" w:hAnsi="Times New Roman" w:cs="Times New Roman"/>
          <w:sz w:val="24"/>
          <w:szCs w:val="24"/>
        </w:rPr>
        <w:t>Главы администрации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E91AAA" w:rsidRPr="00E91AAA" w:rsidRDefault="00E91AAA" w:rsidP="00BC2158">
      <w:pPr>
        <w:pStyle w:val="a3"/>
        <w:numPr>
          <w:ilvl w:val="0"/>
          <w:numId w:val="15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1AAA">
        <w:rPr>
          <w:rFonts w:ascii="Times New Roman" w:hAnsi="Times New Roman" w:cs="Times New Roman"/>
          <w:sz w:val="24"/>
          <w:szCs w:val="24"/>
        </w:rPr>
        <w:t xml:space="preserve">  </w:t>
      </w:r>
      <w:r w:rsidR="00BC2158">
        <w:rPr>
          <w:rFonts w:ascii="Times New Roman" w:hAnsi="Times New Roman" w:cs="Times New Roman"/>
          <w:sz w:val="24"/>
          <w:szCs w:val="24"/>
        </w:rPr>
        <w:t>В случае смерти Главы администрации,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A7068" w:rsidRPr="000A7068" w:rsidRDefault="000A7068" w:rsidP="000A7068">
      <w:pPr>
        <w:pStyle w:val="a3"/>
        <w:ind w:left="1065"/>
        <w:rPr>
          <w:rFonts w:ascii="Times New Roman" w:hAnsi="Times New Roman" w:cs="Times New Roman"/>
          <w:b/>
        </w:rPr>
      </w:pPr>
    </w:p>
    <w:sectPr w:rsidR="000A7068" w:rsidRPr="000A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85"/>
    <w:multiLevelType w:val="hybridMultilevel"/>
    <w:tmpl w:val="3F06EC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86"/>
    <w:multiLevelType w:val="hybridMultilevel"/>
    <w:tmpl w:val="3B594806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87"/>
    <w:multiLevelType w:val="hybridMultilevel"/>
    <w:tmpl w:val="6CAA2304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88"/>
    <w:multiLevelType w:val="hybridMultilevel"/>
    <w:tmpl w:val="3F7C2FF4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89"/>
    <w:multiLevelType w:val="hybridMultilevel"/>
    <w:tmpl w:val="25413BEC"/>
    <w:lvl w:ilvl="0" w:tplc="FFFFFFFF">
      <w:start w:val="1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8A"/>
    <w:multiLevelType w:val="hybridMultilevel"/>
    <w:tmpl w:val="17180B0A"/>
    <w:lvl w:ilvl="0" w:tplc="FFFFFFFF">
      <w:start w:val="2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8B"/>
    <w:multiLevelType w:val="hybridMultilevel"/>
    <w:tmpl w:val="579328B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8C"/>
    <w:multiLevelType w:val="hybridMultilevel"/>
    <w:tmpl w:val="5D205E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8D"/>
    <w:multiLevelType w:val="hybridMultilevel"/>
    <w:tmpl w:val="11CCA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8E"/>
    <w:multiLevelType w:val="hybridMultilevel"/>
    <w:tmpl w:val="4D32AB8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8F"/>
    <w:multiLevelType w:val="hybridMultilevel"/>
    <w:tmpl w:val="3F07AC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2D804E8D"/>
    <w:multiLevelType w:val="hybridMultilevel"/>
    <w:tmpl w:val="A8007BF2"/>
    <w:lvl w:ilvl="0" w:tplc="B64616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EA5112"/>
    <w:multiLevelType w:val="hybridMultilevel"/>
    <w:tmpl w:val="E29C0826"/>
    <w:lvl w:ilvl="0" w:tplc="C82E4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68"/>
    <w:rsid w:val="000A7068"/>
    <w:rsid w:val="00BC2158"/>
    <w:rsid w:val="00E9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2017-03-31T13:16:00Z</dcterms:created>
  <dcterms:modified xsi:type="dcterms:W3CDTF">2017-03-31T13:16:00Z</dcterms:modified>
</cp:coreProperties>
</file>